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BA4F" w14:textId="6E865760" w:rsidR="009B4D4C" w:rsidRPr="00621823" w:rsidRDefault="003F7921" w:rsidP="003F7921">
      <w:pPr>
        <w:pStyle w:val="NormalWeb"/>
        <w:spacing w:after="0"/>
        <w:jc w:val="center"/>
        <w:rPr>
          <w:b/>
          <w:sz w:val="28"/>
          <w:szCs w:val="28"/>
        </w:rPr>
      </w:pPr>
      <w:r>
        <w:rPr>
          <w:b/>
          <w:sz w:val="28"/>
          <w:szCs w:val="28"/>
        </w:rPr>
        <w:t xml:space="preserve">Public Input Testimony and Notice </w:t>
      </w:r>
      <w:r w:rsidR="009B4D4C" w:rsidRPr="00621823">
        <w:rPr>
          <w:b/>
          <w:sz w:val="28"/>
          <w:szCs w:val="28"/>
        </w:rPr>
        <w:t>Policy</w:t>
      </w:r>
    </w:p>
    <w:p w14:paraId="3DCFFE97" w14:textId="1547C519" w:rsidR="00B748E0" w:rsidRDefault="00FF4C92" w:rsidP="00B748E0">
      <w:pPr>
        <w:pStyle w:val="NormalWeb"/>
        <w:rPr>
          <w:sz w:val="24"/>
        </w:rPr>
      </w:pPr>
      <w:r>
        <w:rPr>
          <w:sz w:val="24"/>
        </w:rPr>
        <w:t xml:space="preserve">In accordance with </w:t>
      </w:r>
      <w:r w:rsidR="00BF3706">
        <w:rPr>
          <w:sz w:val="24"/>
        </w:rPr>
        <w:t xml:space="preserve">the </w:t>
      </w:r>
      <w:r>
        <w:rPr>
          <w:sz w:val="24"/>
        </w:rPr>
        <w:t>Bagley</w:t>
      </w:r>
      <w:r w:rsidR="00F74BD6">
        <w:rPr>
          <w:sz w:val="24"/>
        </w:rPr>
        <w:t>-</w:t>
      </w:r>
      <w:r>
        <w:rPr>
          <w:sz w:val="24"/>
        </w:rPr>
        <w:t xml:space="preserve">Keene Open Meetings Act (Govt. Code section </w:t>
      </w:r>
      <w:r w:rsidR="00583F9B">
        <w:rPr>
          <w:sz w:val="24"/>
        </w:rPr>
        <w:t xml:space="preserve">11125, </w:t>
      </w:r>
      <w:proofErr w:type="gramStart"/>
      <w:r w:rsidR="00583F9B">
        <w:rPr>
          <w:sz w:val="24"/>
        </w:rPr>
        <w:t>subd.(</w:t>
      </w:r>
      <w:proofErr w:type="gramEnd"/>
      <w:r w:rsidR="00583F9B">
        <w:rPr>
          <w:sz w:val="24"/>
        </w:rPr>
        <w:t>a)</w:t>
      </w:r>
      <w:r>
        <w:rPr>
          <w:sz w:val="24"/>
        </w:rPr>
        <w:t>.), the Commission</w:t>
      </w:r>
      <w:r w:rsidR="00F74BD6">
        <w:rPr>
          <w:sz w:val="24"/>
        </w:rPr>
        <w:t xml:space="preserve"> implements the following policy to address various related issues surrounding sufficient notice of Commission meetings.</w:t>
      </w:r>
    </w:p>
    <w:p w14:paraId="1ED530AC" w14:textId="70099B04" w:rsidR="00F74BD6" w:rsidRDefault="00F74BD6" w:rsidP="00B748E0">
      <w:pPr>
        <w:pStyle w:val="NormalWeb"/>
        <w:rPr>
          <w:sz w:val="24"/>
        </w:rPr>
      </w:pPr>
      <w:r>
        <w:rPr>
          <w:sz w:val="24"/>
        </w:rPr>
        <w:t>The Bagley-Keene Open Meetings Act requires ten days’ notice to the public for scheduled meetings.  Additionally, the Commission statutes require fourteen days' notice where Commission’s purpose in holding the meeting is to receive input</w:t>
      </w:r>
      <w:r w:rsidR="00BF3706">
        <w:rPr>
          <w:sz w:val="24"/>
        </w:rPr>
        <w:t xml:space="preserve"> testimony</w:t>
      </w:r>
      <w:r>
        <w:rPr>
          <w:sz w:val="24"/>
        </w:rPr>
        <w:t xml:space="preserve"> from the public</w:t>
      </w:r>
      <w:r w:rsidR="00583F9B">
        <w:rPr>
          <w:sz w:val="24"/>
        </w:rPr>
        <w:t>. (Govt. Code section 8253, subd. (a)(1).)</w:t>
      </w:r>
    </w:p>
    <w:p w14:paraId="3B8CD7CC" w14:textId="7821F3F8" w:rsidR="00BF3706" w:rsidRDefault="00BF3706" w:rsidP="00B748E0">
      <w:pPr>
        <w:pStyle w:val="NormalWeb"/>
        <w:rPr>
          <w:sz w:val="24"/>
        </w:rPr>
      </w:pPr>
      <w:r>
        <w:rPr>
          <w:sz w:val="24"/>
        </w:rPr>
        <w:t xml:space="preserve">The following Commission meetings are held for the purpose of </w:t>
      </w:r>
      <w:r w:rsidR="003F7921">
        <w:rPr>
          <w:sz w:val="24"/>
        </w:rPr>
        <w:t>receiving public input testimony from the public</w:t>
      </w:r>
      <w:r w:rsidR="00E40F98">
        <w:rPr>
          <w:sz w:val="24"/>
        </w:rPr>
        <w:t xml:space="preserve"> and, thus, require fourteen days’ public notice for scheduled meetings</w:t>
      </w:r>
      <w:r w:rsidR="003F7921">
        <w:rPr>
          <w:sz w:val="24"/>
        </w:rPr>
        <w:t>:</w:t>
      </w:r>
    </w:p>
    <w:p w14:paraId="5952126C" w14:textId="038A6E48" w:rsidR="003F7921" w:rsidRPr="003F7921" w:rsidRDefault="003F7921" w:rsidP="003F7921">
      <w:pPr>
        <w:pStyle w:val="NormalWeb"/>
        <w:numPr>
          <w:ilvl w:val="0"/>
          <w:numId w:val="2"/>
        </w:numPr>
      </w:pPr>
      <w:r>
        <w:rPr>
          <w:sz w:val="24"/>
        </w:rPr>
        <w:t xml:space="preserve">Public Input </w:t>
      </w:r>
      <w:proofErr w:type="gramStart"/>
      <w:r>
        <w:rPr>
          <w:sz w:val="24"/>
        </w:rPr>
        <w:t>Meetings;</w:t>
      </w:r>
      <w:proofErr w:type="gramEnd"/>
    </w:p>
    <w:p w14:paraId="70B5767A" w14:textId="02FB6A0E" w:rsidR="003F7921" w:rsidRPr="003F7921" w:rsidRDefault="003F7921" w:rsidP="003F7921">
      <w:pPr>
        <w:pStyle w:val="NormalWeb"/>
        <w:numPr>
          <w:ilvl w:val="0"/>
          <w:numId w:val="2"/>
        </w:numPr>
      </w:pPr>
      <w:r>
        <w:rPr>
          <w:sz w:val="24"/>
        </w:rPr>
        <w:t xml:space="preserve">Community of Interest </w:t>
      </w:r>
      <w:proofErr w:type="gramStart"/>
      <w:r>
        <w:rPr>
          <w:sz w:val="24"/>
        </w:rPr>
        <w:t>Meetings;</w:t>
      </w:r>
      <w:proofErr w:type="gramEnd"/>
    </w:p>
    <w:p w14:paraId="022058FB" w14:textId="486D04F9" w:rsidR="003F7921" w:rsidRPr="003F7921" w:rsidRDefault="003F7921" w:rsidP="003F7921">
      <w:pPr>
        <w:pStyle w:val="NormalWeb"/>
        <w:numPr>
          <w:ilvl w:val="0"/>
          <w:numId w:val="2"/>
        </w:numPr>
      </w:pPr>
      <w:r>
        <w:rPr>
          <w:sz w:val="24"/>
        </w:rPr>
        <w:t xml:space="preserve">Line-Drawing/Drafting </w:t>
      </w:r>
      <w:proofErr w:type="gramStart"/>
      <w:r>
        <w:rPr>
          <w:sz w:val="24"/>
        </w:rPr>
        <w:t>Meetings;</w:t>
      </w:r>
      <w:proofErr w:type="gramEnd"/>
    </w:p>
    <w:p w14:paraId="19648EDD" w14:textId="64CA787F" w:rsidR="003F7921" w:rsidRPr="003F7921" w:rsidRDefault="003F7921" w:rsidP="003F7921">
      <w:pPr>
        <w:pStyle w:val="NormalWeb"/>
        <w:numPr>
          <w:ilvl w:val="0"/>
          <w:numId w:val="2"/>
        </w:numPr>
      </w:pPr>
      <w:r>
        <w:rPr>
          <w:sz w:val="24"/>
        </w:rPr>
        <w:t>Map (Draft and Final) Approval Meetings.</w:t>
      </w:r>
    </w:p>
    <w:p w14:paraId="100B4DC6" w14:textId="09D917A5" w:rsidR="003F7921" w:rsidRPr="00621823" w:rsidRDefault="003F7921" w:rsidP="003F7921">
      <w:pPr>
        <w:pStyle w:val="NormalWeb"/>
      </w:pPr>
      <w:r>
        <w:rPr>
          <w:sz w:val="24"/>
        </w:rPr>
        <w:t xml:space="preserve">All other Commission meetings are </w:t>
      </w:r>
      <w:r w:rsidRPr="003F7921">
        <w:rPr>
          <w:b/>
          <w:bCs/>
          <w:i/>
          <w:iCs/>
          <w:sz w:val="24"/>
          <w:u w:val="single"/>
        </w:rPr>
        <w:t>not</w:t>
      </w:r>
      <w:r>
        <w:rPr>
          <w:sz w:val="24"/>
        </w:rPr>
        <w:t xml:space="preserve"> held for the purpose of receiving public input testimony</w:t>
      </w:r>
      <w:r w:rsidR="00E40F98">
        <w:rPr>
          <w:sz w:val="24"/>
        </w:rPr>
        <w:t>, and, thus, will fall under the Bagley-Keene Open Meetings Act requiring ten days’ notice to the public for scheduled meetings</w:t>
      </w:r>
      <w:r>
        <w:rPr>
          <w:sz w:val="24"/>
        </w:rPr>
        <w:t>.</w:t>
      </w:r>
    </w:p>
    <w:sectPr w:rsidR="003F7921" w:rsidRPr="00621823" w:rsidSect="00B748E0">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2952" w14:textId="77777777" w:rsidR="001C2484" w:rsidRDefault="001C2484" w:rsidP="00BF4379">
      <w:r>
        <w:separator/>
      </w:r>
    </w:p>
  </w:endnote>
  <w:endnote w:type="continuationSeparator" w:id="0">
    <w:p w14:paraId="4B347BC9" w14:textId="77777777" w:rsidR="001C2484" w:rsidRDefault="001C2484" w:rsidP="00B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BC2" w14:textId="77777777" w:rsidR="00BF4379" w:rsidRDefault="00BF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3F8" w14:textId="77777777" w:rsidR="00BF4379" w:rsidRDefault="00BF4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3DE6" w14:textId="77777777" w:rsidR="00BF4379" w:rsidRDefault="00BF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9D95" w14:textId="77777777" w:rsidR="001C2484" w:rsidRDefault="001C2484" w:rsidP="00BF4379">
      <w:r>
        <w:separator/>
      </w:r>
    </w:p>
  </w:footnote>
  <w:footnote w:type="continuationSeparator" w:id="0">
    <w:p w14:paraId="5C370463" w14:textId="77777777" w:rsidR="001C2484" w:rsidRDefault="001C2484" w:rsidP="00BF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26E" w14:textId="43833439" w:rsidR="00BF4379" w:rsidRDefault="00BF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34DE" w14:textId="7E303AF8" w:rsidR="00BF4379" w:rsidRDefault="00BF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C63" w14:textId="1E231902" w:rsidR="00BF4379" w:rsidRDefault="00BF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ADB"/>
    <w:multiLevelType w:val="hybridMultilevel"/>
    <w:tmpl w:val="1990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963CC"/>
    <w:multiLevelType w:val="hybridMultilevel"/>
    <w:tmpl w:val="058E80BC"/>
    <w:lvl w:ilvl="0" w:tplc="30C0B33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5111735">
    <w:abstractNumId w:val="0"/>
  </w:num>
  <w:num w:numId="2" w16cid:durableId="148712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4C"/>
    <w:rsid w:val="00046192"/>
    <w:rsid w:val="00111324"/>
    <w:rsid w:val="00161A66"/>
    <w:rsid w:val="00162F6A"/>
    <w:rsid w:val="001A2C0D"/>
    <w:rsid w:val="001C2484"/>
    <w:rsid w:val="00271CEF"/>
    <w:rsid w:val="003B04AB"/>
    <w:rsid w:val="003D5D27"/>
    <w:rsid w:val="003F7921"/>
    <w:rsid w:val="00433D09"/>
    <w:rsid w:val="0048718C"/>
    <w:rsid w:val="0049774A"/>
    <w:rsid w:val="00553D1C"/>
    <w:rsid w:val="00583F9B"/>
    <w:rsid w:val="0060305F"/>
    <w:rsid w:val="00621823"/>
    <w:rsid w:val="00650EDA"/>
    <w:rsid w:val="007B7B3F"/>
    <w:rsid w:val="00993391"/>
    <w:rsid w:val="009B4D4C"/>
    <w:rsid w:val="00A016E0"/>
    <w:rsid w:val="00B748E0"/>
    <w:rsid w:val="00BF3706"/>
    <w:rsid w:val="00BF4379"/>
    <w:rsid w:val="00CE205D"/>
    <w:rsid w:val="00CE5EAD"/>
    <w:rsid w:val="00D76583"/>
    <w:rsid w:val="00E40F98"/>
    <w:rsid w:val="00F14C50"/>
    <w:rsid w:val="00F53A36"/>
    <w:rsid w:val="00F74BD6"/>
    <w:rsid w:val="00FF4C92"/>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3D60"/>
  <w15:chartTrackingRefBased/>
  <w15:docId w15:val="{17D4BD81-459F-4302-8E58-39D12AEB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D"/>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hidden/>
    <w:rsid w:val="009B4D4C"/>
    <w:pPr>
      <w:widowControl w:val="0"/>
      <w:adjustRightInd w:val="0"/>
      <w:jc w:val="center"/>
      <w:textAlignment w:val="baseline"/>
    </w:pPr>
    <w:rPr>
      <w:rFonts w:eastAsia="Lucida Sans Unicode" w:cs="Tahoma"/>
      <w:strike/>
      <w:szCs w:val="20"/>
      <w:vertAlign w:val="superscript"/>
    </w:rPr>
  </w:style>
  <w:style w:type="character" w:styleId="CommentReference">
    <w:name w:val="annotation reference"/>
    <w:rsid w:val="009B4D4C"/>
    <w:rPr>
      <w:sz w:val="16"/>
      <w:szCs w:val="16"/>
    </w:rPr>
  </w:style>
  <w:style w:type="paragraph" w:styleId="CommentText">
    <w:name w:val="annotation text"/>
    <w:basedOn w:val="Normal"/>
    <w:link w:val="CommentTextChar"/>
    <w:rsid w:val="009B4D4C"/>
    <w:pPr>
      <w:widowControl w:val="0"/>
    </w:pPr>
    <w:rPr>
      <w:rFonts w:eastAsia="Times New Roman" w:cs="Times New Roman"/>
      <w:sz w:val="20"/>
      <w:szCs w:val="20"/>
    </w:rPr>
  </w:style>
  <w:style w:type="character" w:customStyle="1" w:styleId="CommentTextChar">
    <w:name w:val="Comment Text Char"/>
    <w:basedOn w:val="DefaultParagraphFont"/>
    <w:link w:val="CommentText"/>
    <w:rsid w:val="009B4D4C"/>
    <w:rPr>
      <w:rFonts w:ascii="Times New Roman" w:eastAsia="Times New Roman" w:hAnsi="Times New Roman" w:cs="Times New Roman"/>
      <w:sz w:val="20"/>
      <w:szCs w:val="20"/>
    </w:rPr>
  </w:style>
  <w:style w:type="paragraph" w:styleId="NormalWeb">
    <w:name w:val="Normal (Web)"/>
    <w:basedOn w:val="Normal"/>
    <w:rsid w:val="009B4D4C"/>
    <w:pPr>
      <w:spacing w:before="100" w:beforeAutospacing="1" w:after="115"/>
    </w:pPr>
    <w:rPr>
      <w:rFonts w:eastAsia="Times New Roman" w:cs="Times New Roman"/>
      <w:sz w:val="20"/>
      <w:szCs w:val="24"/>
    </w:rPr>
  </w:style>
  <w:style w:type="paragraph" w:styleId="BalloonText">
    <w:name w:val="Balloon Text"/>
    <w:basedOn w:val="Normal"/>
    <w:link w:val="BalloonTextChar"/>
    <w:uiPriority w:val="99"/>
    <w:semiHidden/>
    <w:unhideWhenUsed/>
    <w:rsid w:val="009B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4C"/>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53D1C"/>
    <w:pPr>
      <w:widowControl/>
    </w:pPr>
    <w:rPr>
      <w:rFonts w:eastAsiaTheme="minorEastAsia" w:cstheme="minorBidi"/>
      <w:b/>
      <w:bCs/>
    </w:rPr>
  </w:style>
  <w:style w:type="character" w:customStyle="1" w:styleId="CommentSubjectChar">
    <w:name w:val="Comment Subject Char"/>
    <w:basedOn w:val="CommentTextChar"/>
    <w:link w:val="CommentSubject"/>
    <w:uiPriority w:val="99"/>
    <w:semiHidden/>
    <w:rsid w:val="00553D1C"/>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BF4379"/>
    <w:pPr>
      <w:tabs>
        <w:tab w:val="center" w:pos="4680"/>
        <w:tab w:val="right" w:pos="9360"/>
      </w:tabs>
    </w:pPr>
  </w:style>
  <w:style w:type="character" w:customStyle="1" w:styleId="HeaderChar">
    <w:name w:val="Header Char"/>
    <w:basedOn w:val="DefaultParagraphFont"/>
    <w:link w:val="Header"/>
    <w:uiPriority w:val="99"/>
    <w:rsid w:val="00BF4379"/>
    <w:rPr>
      <w:rFonts w:ascii="Times New Roman" w:eastAsiaTheme="minorEastAsia" w:hAnsi="Times New Roman"/>
      <w:sz w:val="24"/>
    </w:rPr>
  </w:style>
  <w:style w:type="paragraph" w:styleId="Footer">
    <w:name w:val="footer"/>
    <w:basedOn w:val="Normal"/>
    <w:link w:val="FooterChar"/>
    <w:uiPriority w:val="99"/>
    <w:unhideWhenUsed/>
    <w:rsid w:val="00BF4379"/>
    <w:pPr>
      <w:tabs>
        <w:tab w:val="center" w:pos="4680"/>
        <w:tab w:val="right" w:pos="9360"/>
      </w:tabs>
    </w:pPr>
  </w:style>
  <w:style w:type="character" w:customStyle="1" w:styleId="FooterChar">
    <w:name w:val="Footer Char"/>
    <w:basedOn w:val="DefaultParagraphFont"/>
    <w:link w:val="Footer"/>
    <w:uiPriority w:val="99"/>
    <w:rsid w:val="00BF4379"/>
    <w:rPr>
      <w:rFonts w:ascii="Times New Roman" w:eastAsiaTheme="minorEastAsia" w:hAnsi="Times New Roman"/>
      <w:sz w:val="24"/>
    </w:rPr>
  </w:style>
  <w:style w:type="paragraph" w:styleId="Revision">
    <w:name w:val="Revision"/>
    <w:hidden/>
    <w:uiPriority w:val="99"/>
    <w:semiHidden/>
    <w:rsid w:val="00E40F98"/>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Auditor</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State Auditor</dc:creator>
  <cp:keywords/>
  <dc:description/>
  <cp:lastModifiedBy>Anthony Pane</cp:lastModifiedBy>
  <cp:revision>2</cp:revision>
  <cp:lastPrinted>2020-12-31T00:17:00Z</cp:lastPrinted>
  <dcterms:created xsi:type="dcterms:W3CDTF">2023-01-10T05:01:00Z</dcterms:created>
  <dcterms:modified xsi:type="dcterms:W3CDTF">2023-01-10T05:01:00Z</dcterms:modified>
</cp:coreProperties>
</file>